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37" w:rsidRDefault="00821F37" w:rsidP="00675A54">
      <w:pPr>
        <w:pStyle w:val="IEEETitle"/>
      </w:pPr>
      <w:r>
        <w:t>Research Paper Template for A4 Page Size</w:t>
      </w:r>
    </w:p>
    <w:p w:rsidR="00821F37" w:rsidRDefault="00821F37" w:rsidP="00821F37">
      <w:pPr>
        <w:pStyle w:val="IEEEAuthorName"/>
        <w:ind w:left="720"/>
      </w:pPr>
      <w:r>
        <w:rPr>
          <w:sz w:val="24"/>
        </w:rPr>
        <w:t>First Author</w:t>
      </w:r>
      <w:r>
        <w:rPr>
          <w:sz w:val="24"/>
          <w:vertAlign w:val="superscript"/>
        </w:rPr>
        <w:t>1</w:t>
      </w:r>
      <w:r>
        <w:rPr>
          <w:sz w:val="24"/>
        </w:rPr>
        <w:t>, Second Author</w:t>
      </w:r>
      <w:r>
        <w:rPr>
          <w:sz w:val="24"/>
          <w:vertAlign w:val="superscript"/>
        </w:rPr>
        <w:t>2</w:t>
      </w:r>
      <w:r>
        <w:rPr>
          <w:sz w:val="24"/>
        </w:rPr>
        <w:t>, Third Author</w:t>
      </w:r>
      <w:r>
        <w:rPr>
          <w:sz w:val="24"/>
          <w:vertAlign w:val="superscript"/>
        </w:rPr>
        <w:t>3</w:t>
      </w:r>
    </w:p>
    <w:p w:rsidR="00821F37" w:rsidRDefault="00821F37" w:rsidP="00821F37">
      <w:pPr>
        <w:pStyle w:val="IEEEAuthorAffiliation"/>
        <w:ind w:left="720"/>
      </w:pPr>
      <w:r>
        <w:rPr>
          <w:vertAlign w:val="superscript"/>
        </w:rPr>
        <w:t>1</w:t>
      </w:r>
      <w:r>
        <w:t>First-Author Department, University, Country</w:t>
      </w:r>
    </w:p>
    <w:p w:rsidR="00821F37" w:rsidRDefault="00821F37" w:rsidP="00821F37">
      <w:pPr>
        <w:pStyle w:val="IEEEAuthorAffiliation"/>
        <w:ind w:left="720"/>
      </w:pPr>
      <w:r>
        <w:rPr>
          <w:vertAlign w:val="superscript"/>
        </w:rPr>
        <w:t>2</w:t>
      </w:r>
      <w:r>
        <w:t>Second-Author Department, University, Country</w:t>
      </w:r>
    </w:p>
    <w:p w:rsidR="00821F37" w:rsidRDefault="00821F37" w:rsidP="00821F37">
      <w:pPr>
        <w:pStyle w:val="IEEEAuthorAffiliation"/>
        <w:ind w:left="720"/>
      </w:pPr>
      <w:r>
        <w:rPr>
          <w:vertAlign w:val="superscript"/>
        </w:rPr>
        <w:t>3</w:t>
      </w:r>
      <w:r>
        <w:t>Third-Author Department, University, Country</w:t>
      </w:r>
    </w:p>
    <w:p w:rsidR="00821F37" w:rsidRDefault="00821F37" w:rsidP="00821F37">
      <w:pPr>
        <w:pStyle w:val="Abstract"/>
        <w:rPr>
          <w:i/>
          <w:iCs/>
          <w:sz w:val="20"/>
          <w:szCs w:val="20"/>
        </w:rPr>
      </w:pPr>
    </w:p>
    <w:p w:rsidR="00574E3D" w:rsidRPr="00574E3D" w:rsidRDefault="00574E3D" w:rsidP="00574E3D">
      <w:pPr>
        <w:rPr>
          <w:lang w:val="en-US"/>
        </w:rPr>
        <w:sectPr w:rsidR="00574E3D" w:rsidRPr="00574E3D" w:rsidSect="00007E59">
          <w:pgSz w:w="11906" w:h="16838"/>
          <w:pgMar w:top="1009" w:right="936" w:bottom="1009" w:left="1009" w:header="709" w:footer="709" w:gutter="0"/>
          <w:cols w:space="708"/>
          <w:docGrid w:linePitch="360"/>
        </w:sectPr>
      </w:pPr>
    </w:p>
    <w:p w:rsidR="00821F37" w:rsidRDefault="00821F37" w:rsidP="00821F37">
      <w:pPr>
        <w:pStyle w:val="Abstract"/>
      </w:pPr>
      <w:r w:rsidRPr="00EB3492">
        <w:rPr>
          <w:i/>
          <w:iCs/>
          <w:sz w:val="20"/>
          <w:szCs w:val="20"/>
        </w:rPr>
        <w:lastRenderedPageBreak/>
        <w:t>Abstract</w:t>
      </w:r>
      <w:r w:rsidRPr="00EB3492">
        <w:rPr>
          <w:sz w:val="20"/>
          <w:szCs w:val="20"/>
        </w:rPr>
        <w:t>—</w:t>
      </w:r>
      <w:proofErr w:type="gramStart"/>
      <w:r w:rsidR="00165C9D" w:rsidRPr="00165C9D">
        <w:t>Initially</w:t>
      </w:r>
      <w:proofErr w:type="gramEnd"/>
      <w:r w:rsidR="00165C9D" w:rsidRPr="00165C9D">
        <w:t>, you are required to submit</w:t>
      </w:r>
      <w:r w:rsidR="00165C9D">
        <w:t xml:space="preserve"> only a long abstract for the RTME</w:t>
      </w:r>
      <w:r w:rsidR="00567DC3">
        <w:t>-2014</w:t>
      </w:r>
      <w:r w:rsidR="00165C9D">
        <w:t xml:space="preserve"> conference. Once this abstract is accepted, please use this template to submit your paper.</w:t>
      </w:r>
      <w:r w:rsidR="00165C9D">
        <w:rPr>
          <w:sz w:val="20"/>
          <w:szCs w:val="20"/>
        </w:rPr>
        <w:t xml:space="preserve"> </w:t>
      </w:r>
      <w:r w:rsidRPr="003D14EC">
        <w:t xml:space="preserve">These instructions give you guidelines for preparing papers for </w:t>
      </w:r>
      <w:r w:rsidR="00165C9D">
        <w:t>RTME 2014</w:t>
      </w:r>
      <w:r w:rsidR="00567DC3">
        <w:t xml:space="preserve"> </w:t>
      </w:r>
      <w:r w:rsidRPr="003D14EC">
        <w:t>conference</w:t>
      </w:r>
      <w:r w:rsidR="00165C9D">
        <w:t>.</w:t>
      </w:r>
      <w:r w:rsidRPr="003D14EC">
        <w:t xml:space="preserve"> Use this document as a template using Microsoft </w:t>
      </w:r>
      <w:r w:rsidRPr="003D14EC">
        <w:rPr>
          <w:iCs/>
        </w:rPr>
        <w:t>Word</w:t>
      </w:r>
      <w:r w:rsidRPr="003D14EC">
        <w:t xml:space="preserve">. The electronic file of your paper </w:t>
      </w:r>
      <w:r w:rsidR="002E3454">
        <w:t>may</w:t>
      </w:r>
      <w:r w:rsidRPr="003D14EC">
        <w:t xml:space="preserve"> be formatted further </w:t>
      </w:r>
      <w:r w:rsidR="002E3454">
        <w:t>for</w:t>
      </w:r>
      <w:r w:rsidRPr="003D14EC">
        <w:t xml:space="preserve"> </w:t>
      </w:r>
      <w:r w:rsidR="002E3454">
        <w:t>RTME proceedings</w:t>
      </w:r>
      <w:r w:rsidRPr="003D14EC">
        <w:t xml:space="preserve">. Define all symbols used in the abstract. Do not cite references in the abstract. Do not delete the blank line immediately above the abstract; it sets the footnote at the bottom of this column. Page margins are </w:t>
      </w:r>
      <w:smartTag w:uri="urn:schemas-microsoft-com:office:smarttags" w:element="metricconverter">
        <w:smartTagPr>
          <w:attr w:name="ProductID" w:val="1,78 cm"/>
        </w:smartTagPr>
        <w:r w:rsidRPr="003D14EC">
          <w:t>1</w:t>
        </w:r>
        <w:proofErr w:type="gramStart"/>
        <w:r w:rsidRPr="003D14EC">
          <w:t>,78</w:t>
        </w:r>
        <w:proofErr w:type="gramEnd"/>
        <w:r w:rsidRPr="003D14EC">
          <w:t xml:space="preserve"> cm</w:t>
        </w:r>
      </w:smartTag>
      <w:r w:rsidRPr="003D14EC">
        <w:t xml:space="preserve"> top and  down; </w:t>
      </w:r>
      <w:smartTag w:uri="urn:schemas-microsoft-com:office:smarttags" w:element="metricconverter">
        <w:smartTagPr>
          <w:attr w:name="ProductID" w:val="1,65 cm"/>
        </w:smartTagPr>
        <w:r w:rsidRPr="003D14EC">
          <w:t>1,65 cm</w:t>
        </w:r>
      </w:smartTag>
      <w:r w:rsidRPr="003D14EC">
        <w:t xml:space="preserve"> left and right. Each column width is </w:t>
      </w:r>
      <w:smartTag w:uri="urn:schemas-microsoft-com:office:smarttags" w:element="metricconverter">
        <w:smartTagPr>
          <w:attr w:name="ProductID" w:val="8,89 cm"/>
        </w:smartTagPr>
        <w:r w:rsidRPr="003D14EC">
          <w:t>8</w:t>
        </w:r>
        <w:proofErr w:type="gramStart"/>
        <w:r w:rsidRPr="003D14EC">
          <w:t>,89</w:t>
        </w:r>
        <w:proofErr w:type="gramEnd"/>
        <w:r w:rsidRPr="003D14EC">
          <w:t xml:space="preserve"> cm</w:t>
        </w:r>
      </w:smartTag>
      <w:r w:rsidRPr="003D14EC">
        <w:t xml:space="preserve"> and the separation between the columns is </w:t>
      </w:r>
      <w:smartTag w:uri="urn:schemas-microsoft-com:office:smarttags" w:element="metricconverter">
        <w:smartTagPr>
          <w:attr w:name="ProductID" w:val="0,51 cm"/>
        </w:smartTagPr>
        <w:r w:rsidRPr="003D14EC">
          <w:t>0,51 cm</w:t>
        </w:r>
      </w:smartTag>
      <w:r w:rsidRPr="003D14EC">
        <w:t>.</w:t>
      </w:r>
    </w:p>
    <w:p w:rsidR="00165C9D" w:rsidRDefault="00165C9D" w:rsidP="00821F37">
      <w:pPr>
        <w:pStyle w:val="IndexTerms"/>
        <w:rPr>
          <w:i/>
          <w:iCs/>
          <w:sz w:val="20"/>
          <w:szCs w:val="20"/>
        </w:rPr>
      </w:pPr>
      <w:bookmarkStart w:id="0" w:name="PointTmp"/>
    </w:p>
    <w:p w:rsidR="00821F37" w:rsidRPr="00EB3492" w:rsidRDefault="00821F37" w:rsidP="00821F37">
      <w:pPr>
        <w:pStyle w:val="IndexTerms"/>
        <w:rPr>
          <w:b w:val="0"/>
          <w:sz w:val="20"/>
          <w:szCs w:val="20"/>
        </w:rPr>
      </w:pPr>
      <w:r>
        <w:rPr>
          <w:i/>
          <w:iCs/>
          <w:sz w:val="20"/>
          <w:szCs w:val="20"/>
        </w:rPr>
        <w:t>Keywords</w:t>
      </w:r>
      <w:r w:rsidRPr="00EB3492">
        <w:rPr>
          <w:sz w:val="20"/>
          <w:szCs w:val="20"/>
        </w:rPr>
        <w:t>—</w:t>
      </w:r>
      <w:proofErr w:type="gramStart"/>
      <w:r w:rsidRPr="00EB3492">
        <w:rPr>
          <w:b w:val="0"/>
        </w:rPr>
        <w:t>About</w:t>
      </w:r>
      <w:proofErr w:type="gramEnd"/>
      <w:r w:rsidRPr="00EB3492">
        <w:rPr>
          <w:b w:val="0"/>
        </w:rPr>
        <w:t xml:space="preserve"> four key words or phrases in alphabetical order, separated by commas. </w:t>
      </w:r>
    </w:p>
    <w:bookmarkEnd w:id="0"/>
    <w:p w:rsidR="00821F37" w:rsidRDefault="00821F37" w:rsidP="00821F37">
      <w:pPr>
        <w:pStyle w:val="Heading1"/>
      </w:pPr>
      <w:r>
        <w:t>I</w:t>
      </w:r>
      <w:r>
        <w:rPr>
          <w:sz w:val="16"/>
          <w:szCs w:val="16"/>
        </w:rPr>
        <w:t>NTRODUCTION</w:t>
      </w:r>
    </w:p>
    <w:p w:rsidR="00821F37" w:rsidRPr="00165C9D" w:rsidRDefault="00165C9D" w:rsidP="00821F37">
      <w:pPr>
        <w:pStyle w:val="Text"/>
        <w:keepNext/>
        <w:framePr w:dropCap="drop" w:lines="2" w:wrap="auto" w:vAnchor="text" w:hAnchor="text"/>
        <w:spacing w:line="480" w:lineRule="exact"/>
        <w:ind w:firstLine="0"/>
        <w:rPr>
          <w:smallCaps/>
          <w:position w:val="-3"/>
          <w:sz w:val="56"/>
          <w:szCs w:val="56"/>
        </w:rPr>
      </w:pPr>
      <w:r w:rsidRPr="00165C9D">
        <w:rPr>
          <w:position w:val="-3"/>
          <w:sz w:val="56"/>
          <w:szCs w:val="56"/>
        </w:rPr>
        <w:t>D</w:t>
      </w:r>
    </w:p>
    <w:p w:rsidR="00821F37" w:rsidRPr="00165C9D" w:rsidRDefault="00165C9D" w:rsidP="00165C9D">
      <w:pPr>
        <w:pStyle w:val="Text"/>
        <w:ind w:firstLine="0"/>
      </w:pPr>
      <w:r w:rsidRPr="00165C9D">
        <w:rPr>
          <w:smallCaps/>
          <w:lang w:val="en-IN"/>
        </w:rPr>
        <w:t>O</w:t>
      </w:r>
      <w:r w:rsidR="00821F37" w:rsidRPr="00165C9D">
        <w:t xml:space="preserve"> </w:t>
      </w:r>
      <w:r w:rsidR="00821F37" w:rsidRPr="00165C9D">
        <w:rPr>
          <w:bCs/>
        </w:rPr>
        <w:t>not change the font sizes or line spacing to squeeze more text into a limited number of pages.</w:t>
      </w:r>
      <w:r w:rsidR="00821F37">
        <w:rPr>
          <w:b/>
          <w:bCs/>
        </w:rPr>
        <w:t xml:space="preserve"> </w:t>
      </w:r>
      <w:r w:rsidR="00821F37" w:rsidRPr="00D2773B">
        <w:rPr>
          <w:b/>
          <w:i/>
        </w:rPr>
        <w:t>Use italics for emphasis; do not underline.</w:t>
      </w:r>
    </w:p>
    <w:p w:rsidR="00462651" w:rsidRPr="000D26B2" w:rsidRDefault="00821F37" w:rsidP="000D26B2">
      <w:pPr>
        <w:jc w:val="both"/>
        <w:rPr>
          <w:rFonts w:ascii="Times New Roman" w:eastAsia="Times New Roman" w:hAnsi="Times New Roman" w:cs="Times New Roman"/>
          <w:sz w:val="20"/>
          <w:szCs w:val="20"/>
          <w:lang w:val="en-US"/>
        </w:rPr>
      </w:pPr>
      <w:r w:rsidRPr="000D26B2">
        <w:rPr>
          <w:rFonts w:ascii="Times New Roman" w:eastAsia="Times New Roman" w:hAnsi="Times New Roman" w:cs="Times New Roman"/>
          <w:sz w:val="20"/>
          <w:szCs w:val="20"/>
          <w:lang w:val="en-US"/>
        </w:rPr>
        <w:t>To insert images in Word, position the cursor at the insertion point and either use Insert | Picture | From File or copy the image to the Windows clipboard and then Edit | Paste Special | Picture (with “Float over text” unchecked).</w:t>
      </w:r>
    </w:p>
    <w:p w:rsidR="00821F37" w:rsidRDefault="00821F37" w:rsidP="00821F37">
      <w:pPr>
        <w:pStyle w:val="Heading1"/>
      </w:pPr>
      <w:r>
        <w:t>Helpful Hints</w:t>
      </w:r>
    </w:p>
    <w:p w:rsidR="00821F37" w:rsidRDefault="00821F37" w:rsidP="00821F37">
      <w:pPr>
        <w:pStyle w:val="Heading2"/>
        <w:ind w:firstLine="204"/>
      </w:pPr>
      <w:r>
        <w:t xml:space="preserve">Figures and Tables </w:t>
      </w:r>
    </w:p>
    <w:p w:rsidR="00821F37" w:rsidRDefault="00821F37" w:rsidP="00821F37">
      <w:pPr>
        <w:pStyle w:val="Text"/>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rsidR="00821F37" w:rsidRDefault="00821F37" w:rsidP="00821F37">
      <w:pPr>
        <w:pStyle w:val="Text"/>
      </w:pPr>
      <w:r>
        <w:t>Figure axis labels are often a source of confusion. Use words rather than symbols. As an example, write the quantity “</w:t>
      </w:r>
      <w:r w:rsidR="007074A5">
        <w:t>Hardness</w:t>
      </w:r>
      <w:r>
        <w:t>,” or “</w:t>
      </w:r>
      <w:r w:rsidR="007074A5">
        <w:t>Hardness</w:t>
      </w:r>
      <w:r>
        <w:t xml:space="preserve"> </w:t>
      </w:r>
      <w:r w:rsidR="007074A5">
        <w:rPr>
          <w:i/>
          <w:iCs/>
        </w:rPr>
        <w:t>H</w:t>
      </w:r>
      <w:r>
        <w:t>,” not just “</w:t>
      </w:r>
      <w:r w:rsidR="007074A5">
        <w:rPr>
          <w:i/>
          <w:iCs/>
        </w:rPr>
        <w:t>H</w:t>
      </w:r>
      <w:r>
        <w:t>.” Put units in parentheses. Do not label axes only with units. As in Fig. 1, for example, write “Magnetization (A/m)” or “Magnetization (</w:t>
      </w:r>
      <w:proofErr w:type="gramStart"/>
      <w:r>
        <w:t>A</w:t>
      </w:r>
      <w:proofErr w:type="gramEnd"/>
      <w:r w:rsidRPr="00F80D44">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4.75pt" o:ole="" fillcolor="window">
            <v:imagedata r:id="rId7" o:title=""/>
          </v:shape>
          <o:OLEObject Type="Embed" ProgID="Equation.3" ShapeID="_x0000_i1025" DrawAspect="Content" ObjectID="_1447484411" r:id="rId8"/>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821F37" w:rsidRDefault="00821F37" w:rsidP="00821F37">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821F37" w:rsidRDefault="00821F37" w:rsidP="00821F37">
      <w:pPr>
        <w:pStyle w:val="Text"/>
      </w:pPr>
    </w:p>
    <w:p w:rsidR="00821F37" w:rsidRDefault="00821F37" w:rsidP="00821F37">
      <w:pPr>
        <w:pStyle w:val="Text"/>
      </w:pPr>
    </w:p>
    <w:p w:rsidR="00821F37" w:rsidRDefault="006744E2" w:rsidP="00821F37">
      <w:pPr>
        <w:pStyle w:val="Text"/>
        <w:ind w:firstLine="0"/>
        <w:jc w:val="center"/>
      </w:pPr>
      <w:r w:rsidRPr="006744E2">
        <w:rPr>
          <w:noProof/>
        </w:rPr>
        <w:drawing>
          <wp:inline distT="0" distB="0" distL="0" distR="0">
            <wp:extent cx="3070860" cy="1706637"/>
            <wp:effectExtent l="19050" t="0" r="0" b="0"/>
            <wp:docPr id="1" name="Picture 25" descr="G:\Di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Diagram\2.jpg"/>
                    <pic:cNvPicPr>
                      <a:picLocks noChangeAspect="1" noChangeArrowheads="1"/>
                    </pic:cNvPicPr>
                  </pic:nvPicPr>
                  <pic:blipFill>
                    <a:blip r:embed="rId9" cstate="print">
                      <a:lum/>
                    </a:blip>
                    <a:stretch>
                      <a:fillRect/>
                    </a:stretch>
                  </pic:blipFill>
                  <pic:spPr bwMode="auto">
                    <a:xfrm>
                      <a:off x="0" y="0"/>
                      <a:ext cx="3070860" cy="1706637"/>
                    </a:xfrm>
                    <a:prstGeom prst="rect">
                      <a:avLst/>
                    </a:prstGeom>
                    <a:noFill/>
                    <a:ln w="9525">
                      <a:noFill/>
                      <a:miter lim="800000"/>
                      <a:headEnd/>
                      <a:tailEnd/>
                    </a:ln>
                  </pic:spPr>
                </pic:pic>
              </a:graphicData>
            </a:graphic>
          </wp:inline>
        </w:drawing>
      </w:r>
    </w:p>
    <w:p w:rsidR="006744E2" w:rsidRPr="006744E2" w:rsidRDefault="006744E2" w:rsidP="00821F37">
      <w:pPr>
        <w:pStyle w:val="Text"/>
        <w:ind w:firstLine="0"/>
        <w:jc w:val="center"/>
        <w:rPr>
          <w:rFonts w:cs="Times"/>
          <w:color w:val="000000"/>
          <w:sz w:val="18"/>
          <w:szCs w:val="18"/>
        </w:rPr>
      </w:pPr>
      <w:r w:rsidRPr="006744E2">
        <w:rPr>
          <w:rFonts w:cs="Times"/>
          <w:color w:val="000000"/>
          <w:sz w:val="18"/>
          <w:szCs w:val="18"/>
        </w:rPr>
        <w:t>Fig. 1</w:t>
      </w:r>
      <w:r>
        <w:rPr>
          <w:rFonts w:cs="Times"/>
          <w:color w:val="000000"/>
          <w:sz w:val="18"/>
          <w:szCs w:val="18"/>
        </w:rPr>
        <w:t xml:space="preserve"> </w:t>
      </w:r>
      <w:proofErr w:type="gramStart"/>
      <w:r w:rsidRPr="006744E2">
        <w:rPr>
          <w:rFonts w:cs="Times"/>
          <w:color w:val="000000"/>
          <w:sz w:val="18"/>
          <w:szCs w:val="18"/>
        </w:rPr>
        <w:t>A</w:t>
      </w:r>
      <w:proofErr w:type="gramEnd"/>
      <w:r w:rsidRPr="006744E2">
        <w:rPr>
          <w:rFonts w:cs="Times"/>
          <w:color w:val="000000"/>
          <w:sz w:val="18"/>
          <w:szCs w:val="18"/>
        </w:rPr>
        <w:t xml:space="preserve"> noisy Communication Channel</w:t>
      </w:r>
    </w:p>
    <w:p w:rsidR="00821F37" w:rsidRDefault="00821F37" w:rsidP="00821F37">
      <w:pPr>
        <w:pStyle w:val="Heading2"/>
        <w:ind w:firstLine="204"/>
      </w:pPr>
      <w:r>
        <w:t>References</w:t>
      </w:r>
    </w:p>
    <w:p w:rsidR="00821F37" w:rsidRDefault="00821F37" w:rsidP="00821F37">
      <w:pPr>
        <w:pStyle w:val="Text"/>
      </w:pPr>
      <w:proofErr w:type="gramStart"/>
      <w:r>
        <w:t>Number citations consecutively in square brackets [1].</w:t>
      </w:r>
      <w:proofErr w:type="gramEnd"/>
      <w:r>
        <w:t xml:space="preserve"> The sentence punctuation follows the brackets [2]. Multiple references [2], [3] are each numbered with separate brackets [1]–[3]. When citing a section in a book, please give the relevant page numbers [2]. In sentences, refer simply to the reference number, as </w:t>
      </w:r>
    </w:p>
    <w:p w:rsidR="00821F37" w:rsidRDefault="00821F37" w:rsidP="00821F37">
      <w:pPr>
        <w:pStyle w:val="Text"/>
        <w:ind w:firstLine="0"/>
      </w:pPr>
      <w:proofErr w:type="gramStart"/>
      <w:r>
        <w:t>in</w:t>
      </w:r>
      <w:proofErr w:type="gramEnd"/>
      <w:r>
        <w:t xml:space="preserve"> [3]. Do not use “Ref. [3]” or “reference [3]” except at the beginning of a sentence: “Reference [3] shows ....</w:t>
      </w:r>
      <w:proofErr w:type="gramStart"/>
      <w:r>
        <w:t>”,</w:t>
      </w:r>
      <w:proofErr w:type="gramEnd"/>
      <w:r>
        <w:t xml:space="preserve"> type the reference list at the end of the paper using the “References” style.</w:t>
      </w:r>
    </w:p>
    <w:p w:rsidR="00821F37" w:rsidRDefault="00821F37" w:rsidP="00821F37">
      <w:pPr>
        <w:pStyle w:val="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821F37" w:rsidRDefault="00821F37" w:rsidP="00821F37">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rsidR="00821F37" w:rsidRDefault="00821F37" w:rsidP="00821F37">
      <w:pPr>
        <w:pStyle w:val="Heading2"/>
        <w:ind w:firstLine="204"/>
      </w:pPr>
      <w:r>
        <w:t>Abbreviations and Acronyms</w:t>
      </w:r>
    </w:p>
    <w:p w:rsidR="00821F37" w:rsidRDefault="00821F37" w:rsidP="00821F37">
      <w:pPr>
        <w:pStyle w:val="Text"/>
        <w:ind w:firstLine="204"/>
      </w:pPr>
      <w:r>
        <w:t xml:space="preserve">Define abbreviations and acronyms the first time they are used in the text, even after they have already been defined in the abstract. Abbreviations such as </w:t>
      </w:r>
      <w:r w:rsidRPr="00FA0AEB">
        <w:t>IES</w:t>
      </w:r>
      <w:r>
        <w:t>, SI, ac, and dc do not have to be defined. Abbreviations that incorporate periods should not have spaces: write “C.N.R.S.,” not “C. N. R. S.” Do not use abbreviations in the title unless they are unavoidable</w:t>
      </w:r>
      <w:r w:rsidR="002E3454">
        <w:t>.</w:t>
      </w:r>
      <w:r>
        <w:t xml:space="preserve"> </w:t>
      </w:r>
    </w:p>
    <w:p w:rsidR="00821F37" w:rsidRDefault="00821F37" w:rsidP="00821F37">
      <w:pPr>
        <w:pStyle w:val="Heading2"/>
        <w:ind w:firstLine="204"/>
      </w:pPr>
      <w:r>
        <w:t>Equations</w:t>
      </w:r>
    </w:p>
    <w:p w:rsidR="00821F37" w:rsidRDefault="00821F37" w:rsidP="00821F37">
      <w:pPr>
        <w:pStyle w:val="Text"/>
        <w:ind w:firstLine="204"/>
      </w:pPr>
      <w:r>
        <w:t xml:space="preserve">Number equations consecutively with equation numbers </w:t>
      </w:r>
      <w:r>
        <w:lastRenderedPageBreak/>
        <w:t xml:space="preserve">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rsidR="00821F37" w:rsidRDefault="00821F37" w:rsidP="00821F37">
      <w:pPr>
        <w:pStyle w:val="Text"/>
      </w:pPr>
    </w:p>
    <w:p w:rsidR="00821F37" w:rsidRDefault="00821F37" w:rsidP="00821F37">
      <w:pPr>
        <w:pStyle w:val="Equation"/>
        <w:jc w:val="right"/>
      </w:pPr>
      <w:r w:rsidRPr="00F80D44">
        <w:rPr>
          <w:position w:val="-50"/>
        </w:rPr>
        <w:object w:dxaOrig="4940" w:dyaOrig="1120">
          <v:shape id="_x0000_i1026" type="#_x0000_t75" style="width:226.2pt;height:44.85pt" o:ole="" fillcolor="window">
            <v:imagedata r:id="rId10" o:title=""/>
          </v:shape>
          <o:OLEObject Type="Embed" ProgID="Equation.3" ShapeID="_x0000_i1026" DrawAspect="Content" ObjectID="_1447484412" r:id="rId11"/>
        </w:object>
      </w:r>
      <w:r>
        <w:tab/>
        <w:t>(1)</w:t>
      </w:r>
    </w:p>
    <w:p w:rsidR="00821F37" w:rsidRDefault="00821F37" w:rsidP="00821F37"/>
    <w:p w:rsidR="00821F37" w:rsidRDefault="00821F37" w:rsidP="00821F37">
      <w:pPr>
        <w:pStyle w:val="Text"/>
      </w:pPr>
      <w:r>
        <w:t>Be sure that the symbols in your equation have been defined before the equation appears or immediately following. Italicize symbols (</w:t>
      </w:r>
      <w:r>
        <w:rPr>
          <w:i/>
          <w:iCs/>
        </w:rPr>
        <w:t>T</w:t>
      </w:r>
      <w:r>
        <w:t xml:space="preserve"> might refer to temperature, but T is the unit </w:t>
      </w:r>
      <w:proofErr w:type="spellStart"/>
      <w:r>
        <w:t>tesla</w:t>
      </w:r>
      <w:proofErr w:type="spellEnd"/>
      <w:r>
        <w:t xml:space="preserve">). Refer to “(1),” not “Eq. (1)” or “equation (1),” except at the beginning of a sentence: “Equation (1) is </w:t>
      </w:r>
      <w:proofErr w:type="gramStart"/>
      <w:r>
        <w:t>... .”</w:t>
      </w:r>
      <w:proofErr w:type="gramEnd"/>
    </w:p>
    <w:p w:rsidR="00821F37" w:rsidRDefault="00821F37" w:rsidP="00821F37">
      <w:pPr>
        <w:pStyle w:val="Heading2"/>
        <w:ind w:firstLine="204"/>
      </w:pPr>
      <w:r>
        <w:t>Other Recommendations</w:t>
      </w:r>
    </w:p>
    <w:p w:rsidR="00821F37" w:rsidRDefault="00821F37" w:rsidP="00821F37">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821F37" w:rsidRDefault="00821F37" w:rsidP="00821F37">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proofErr w:type="gramStart"/>
      <w:r>
        <w:t>When expressing a range of values, write “7 to 9” or “7-9,” not “7~9.”</w:t>
      </w:r>
      <w:proofErr w:type="gramEnd"/>
    </w:p>
    <w:p w:rsidR="00821F37" w:rsidRDefault="00821F37" w:rsidP="00821F37">
      <w:pPr>
        <w:pStyle w:val="Text"/>
      </w:pPr>
      <w:r>
        <w:t>Avoid contractions; for example, write “do not” instead of “don’t.” The serial comma is preferred: “A, B, and C” instead of “A, B and C.”</w:t>
      </w:r>
    </w:p>
    <w:p w:rsidR="00821F37" w:rsidRDefault="00821F37" w:rsidP="00821F37">
      <w:pPr>
        <w:pStyle w:val="Heading1"/>
      </w:pPr>
      <w:r>
        <w:t>Editorial Policy</w:t>
      </w:r>
    </w:p>
    <w:p w:rsidR="00821F37" w:rsidRDefault="00821F37" w:rsidP="00821F37">
      <w:pPr>
        <w:pStyle w:val="Text"/>
      </w:pPr>
      <w:r>
        <w:t>Do not submit a reworked version of a paper you have submitted or published elsewhere. Do not publish “preliminary” data or results. The submitting author is responsible for obtaining agreement of all coauthors and any consent required from sponsors before submitting a paper. It is the obligation of the authors to cite relevant prior work.</w:t>
      </w:r>
    </w:p>
    <w:p w:rsidR="00821F37" w:rsidRDefault="00821F37" w:rsidP="00821F37">
      <w:pPr>
        <w:pStyle w:val="Heading1"/>
      </w:pPr>
      <w:r>
        <w:t>Conclusion</w:t>
      </w:r>
    </w:p>
    <w:p w:rsidR="00821F37" w:rsidRDefault="00821F37" w:rsidP="00821F37">
      <w:pPr>
        <w:pStyle w:val="Text"/>
      </w:pPr>
      <w:r>
        <w:t xml:space="preserve">Although a conclusion may review the main points of the paper, do not replicate the abstract as the conclusion. A conclusion might elaborate on the importance of the work or suggest applications and extensions. </w:t>
      </w:r>
      <w:r w:rsidR="00567DC3">
        <w:t xml:space="preserve">For any other query, you may contact conveners by email </w:t>
      </w:r>
    </w:p>
    <w:p w:rsidR="00821F37" w:rsidRDefault="00821F37" w:rsidP="00821F37">
      <w:pPr>
        <w:pStyle w:val="ReferenceHead"/>
      </w:pPr>
      <w:r>
        <w:t>Acknowledgment</w:t>
      </w:r>
    </w:p>
    <w:p w:rsidR="00821F37" w:rsidRPr="002A63BB" w:rsidRDefault="00821F37" w:rsidP="00821F37">
      <w:pPr>
        <w:pStyle w:val="Text"/>
      </w:pPr>
      <w:r>
        <w:t xml:space="preserve">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p>
    <w:p w:rsidR="00821F37" w:rsidRPr="004B2190" w:rsidRDefault="00821F37" w:rsidP="00821F37">
      <w:pPr>
        <w:pStyle w:val="ReferenceHead"/>
      </w:pPr>
      <w:r w:rsidRPr="004B2190">
        <w:lastRenderedPageBreak/>
        <w:t xml:space="preserve">References  </w:t>
      </w:r>
    </w:p>
    <w:p w:rsidR="00821F37" w:rsidRPr="004B2190" w:rsidRDefault="00821F37" w:rsidP="00821F37">
      <w:pPr>
        <w:numPr>
          <w:ilvl w:val="0"/>
          <w:numId w:val="4"/>
        </w:numPr>
        <w:autoSpaceDE w:val="0"/>
        <w:autoSpaceDN w:val="0"/>
        <w:spacing w:after="0" w:line="240" w:lineRule="auto"/>
        <w:jc w:val="both"/>
        <w:rPr>
          <w:rFonts w:ascii="Times New Roman" w:hAnsi="Times New Roman" w:cs="Times New Roman"/>
          <w:sz w:val="16"/>
          <w:szCs w:val="16"/>
        </w:rPr>
      </w:pPr>
      <w:r w:rsidRPr="004B2190">
        <w:rPr>
          <w:rFonts w:ascii="Times New Roman" w:hAnsi="Times New Roman" w:cs="Times New Roman"/>
          <w:sz w:val="16"/>
          <w:szCs w:val="16"/>
        </w:rPr>
        <w:t xml:space="preserve">G. O. Young, “Synthetic structure of industrial plastics (Book style with paper title and editor),” </w:t>
      </w:r>
      <w:r w:rsidRPr="004B2190">
        <w:rPr>
          <w:rFonts w:ascii="Times New Roman" w:hAnsi="Times New Roman" w:cs="Times New Roman"/>
          <w:sz w:val="16"/>
          <w:szCs w:val="16"/>
        </w:rPr>
        <w:tab/>
        <w:t xml:space="preserve">in </w:t>
      </w:r>
      <w:r w:rsidRPr="004B2190">
        <w:rPr>
          <w:rFonts w:ascii="Times New Roman" w:hAnsi="Times New Roman" w:cs="Times New Roman"/>
          <w:i/>
          <w:iCs/>
          <w:sz w:val="16"/>
          <w:szCs w:val="16"/>
        </w:rPr>
        <w:t>Plastics</w:t>
      </w:r>
      <w:r w:rsidRPr="004B2190">
        <w:rPr>
          <w:rFonts w:ascii="Times New Roman" w:hAnsi="Times New Roman" w:cs="Times New Roman"/>
          <w:sz w:val="16"/>
          <w:szCs w:val="16"/>
        </w:rPr>
        <w:t xml:space="preserve">, 2nd ed. vol. 3, J. Peters, Ed.  </w:t>
      </w:r>
      <w:smartTag w:uri="urn:schemas-microsoft-com:office:smarttags" w:element="place">
        <w:smartTag w:uri="urn:schemas-microsoft-com:office:smarttags" w:element="State">
          <w:r w:rsidRPr="004B2190">
            <w:rPr>
              <w:rFonts w:ascii="Times New Roman" w:hAnsi="Times New Roman" w:cs="Times New Roman"/>
              <w:sz w:val="16"/>
              <w:szCs w:val="16"/>
            </w:rPr>
            <w:t>New York</w:t>
          </w:r>
        </w:smartTag>
      </w:smartTag>
      <w:r w:rsidRPr="004B2190">
        <w:rPr>
          <w:rFonts w:ascii="Times New Roman" w:hAnsi="Times New Roman" w:cs="Times New Roman"/>
          <w:sz w:val="16"/>
          <w:szCs w:val="16"/>
        </w:rPr>
        <w:t>: McGraw-Hill, 1964, pp. 15–64.</w:t>
      </w:r>
    </w:p>
    <w:p w:rsidR="00821F37" w:rsidRPr="004B2190" w:rsidRDefault="00821F37" w:rsidP="00821F37">
      <w:pPr>
        <w:numPr>
          <w:ilvl w:val="0"/>
          <w:numId w:val="4"/>
        </w:numPr>
        <w:autoSpaceDE w:val="0"/>
        <w:autoSpaceDN w:val="0"/>
        <w:spacing w:after="0" w:line="240" w:lineRule="auto"/>
        <w:jc w:val="both"/>
        <w:rPr>
          <w:rFonts w:ascii="Times New Roman" w:hAnsi="Times New Roman" w:cs="Times New Roman"/>
          <w:sz w:val="16"/>
          <w:szCs w:val="16"/>
        </w:rPr>
      </w:pPr>
      <w:r w:rsidRPr="004B2190">
        <w:rPr>
          <w:rFonts w:ascii="Times New Roman" w:hAnsi="Times New Roman" w:cs="Times New Roman"/>
          <w:sz w:val="16"/>
          <w:szCs w:val="16"/>
        </w:rPr>
        <w:t xml:space="preserve">W.-K. Chen, </w:t>
      </w:r>
      <w:r w:rsidRPr="004B2190">
        <w:rPr>
          <w:rFonts w:ascii="Times New Roman" w:hAnsi="Times New Roman" w:cs="Times New Roman"/>
          <w:i/>
          <w:iCs/>
          <w:sz w:val="16"/>
          <w:szCs w:val="16"/>
        </w:rPr>
        <w:t>Linear Networks and Systems</w:t>
      </w:r>
      <w:r w:rsidRPr="004B2190">
        <w:rPr>
          <w:rFonts w:ascii="Times New Roman" w:hAnsi="Times New Roman" w:cs="Times New Roman"/>
          <w:sz w:val="16"/>
          <w:szCs w:val="16"/>
        </w:rPr>
        <w:t xml:space="preserve"> (Book style)</w:t>
      </w:r>
      <w:r w:rsidRPr="004B2190">
        <w:rPr>
          <w:rFonts w:ascii="Times New Roman" w:hAnsi="Times New Roman" w:cs="Times New Roman"/>
          <w:i/>
          <w:iCs/>
          <w:sz w:val="16"/>
          <w:szCs w:val="16"/>
        </w:rPr>
        <w:t>.</w:t>
      </w:r>
      <w:r w:rsidR="00A15483">
        <w:rPr>
          <w:rFonts w:ascii="Times New Roman" w:hAnsi="Times New Roman" w:cs="Times New Roman"/>
          <w:i/>
          <w:iCs/>
          <w:sz w:val="16"/>
          <w:szCs w:val="16"/>
        </w:rPr>
        <w:t xml:space="preserve"> </w:t>
      </w:r>
      <w:r w:rsidRPr="004B2190">
        <w:rPr>
          <w:rFonts w:ascii="Times New Roman" w:hAnsi="Times New Roman" w:cs="Times New Roman"/>
          <w:sz w:val="16"/>
          <w:szCs w:val="16"/>
        </w:rPr>
        <w:t>Belmont, CA: Wadsworth, 1993, pp. 123–135.</w:t>
      </w:r>
    </w:p>
    <w:p w:rsidR="00821F37" w:rsidRPr="004B2190" w:rsidRDefault="00821F37" w:rsidP="00821F37">
      <w:pPr>
        <w:numPr>
          <w:ilvl w:val="0"/>
          <w:numId w:val="4"/>
        </w:numPr>
        <w:autoSpaceDE w:val="0"/>
        <w:autoSpaceDN w:val="0"/>
        <w:spacing w:after="0" w:line="240" w:lineRule="auto"/>
        <w:jc w:val="both"/>
        <w:rPr>
          <w:rFonts w:ascii="Times New Roman" w:hAnsi="Times New Roman" w:cs="Times New Roman"/>
          <w:sz w:val="16"/>
          <w:szCs w:val="16"/>
        </w:rPr>
      </w:pPr>
      <w:r w:rsidRPr="004B2190">
        <w:rPr>
          <w:rFonts w:ascii="Times New Roman" w:hAnsi="Times New Roman" w:cs="Times New Roman"/>
          <w:sz w:val="16"/>
          <w:szCs w:val="16"/>
        </w:rPr>
        <w:t xml:space="preserve">H. Poor, </w:t>
      </w:r>
      <w:proofErr w:type="gramStart"/>
      <w:r w:rsidRPr="004B2190">
        <w:rPr>
          <w:rFonts w:ascii="Times New Roman" w:hAnsi="Times New Roman" w:cs="Times New Roman"/>
          <w:i/>
          <w:iCs/>
          <w:sz w:val="16"/>
          <w:szCs w:val="16"/>
        </w:rPr>
        <w:t>An</w:t>
      </w:r>
      <w:proofErr w:type="gramEnd"/>
      <w:r w:rsidRPr="004B2190">
        <w:rPr>
          <w:rFonts w:ascii="Times New Roman" w:hAnsi="Times New Roman" w:cs="Times New Roman"/>
          <w:i/>
          <w:iCs/>
          <w:sz w:val="16"/>
          <w:szCs w:val="16"/>
        </w:rPr>
        <w:t xml:space="preserve"> Introduction to Signal Detection and Estimation</w:t>
      </w:r>
      <w:r w:rsidRPr="004B2190">
        <w:rPr>
          <w:rFonts w:ascii="Times New Roman" w:hAnsi="Times New Roman" w:cs="Times New Roman"/>
          <w:sz w:val="16"/>
          <w:szCs w:val="16"/>
        </w:rPr>
        <w:t xml:space="preserve">.   </w:t>
      </w:r>
      <w:smartTag w:uri="urn:schemas-microsoft-com:office:smarttags" w:element="place">
        <w:smartTag w:uri="urn:schemas-microsoft-com:office:smarttags" w:element="State">
          <w:r w:rsidRPr="004B2190">
            <w:rPr>
              <w:rFonts w:ascii="Times New Roman" w:hAnsi="Times New Roman" w:cs="Times New Roman"/>
              <w:sz w:val="16"/>
              <w:szCs w:val="16"/>
            </w:rPr>
            <w:t>New York</w:t>
          </w:r>
        </w:smartTag>
      </w:smartTag>
      <w:r w:rsidRPr="004B2190">
        <w:rPr>
          <w:rFonts w:ascii="Times New Roman" w:hAnsi="Times New Roman" w:cs="Times New Roman"/>
          <w:sz w:val="16"/>
          <w:szCs w:val="16"/>
        </w:rPr>
        <w:t>: Springer-</w:t>
      </w:r>
      <w:proofErr w:type="spellStart"/>
      <w:r w:rsidRPr="004B2190">
        <w:rPr>
          <w:rFonts w:ascii="Times New Roman" w:hAnsi="Times New Roman" w:cs="Times New Roman"/>
          <w:sz w:val="16"/>
          <w:szCs w:val="16"/>
        </w:rPr>
        <w:t>Verlag</w:t>
      </w:r>
      <w:proofErr w:type="spellEnd"/>
      <w:r w:rsidRPr="004B2190">
        <w:rPr>
          <w:rFonts w:ascii="Times New Roman" w:hAnsi="Times New Roman" w:cs="Times New Roman"/>
          <w:sz w:val="16"/>
          <w:szCs w:val="16"/>
        </w:rPr>
        <w:t xml:space="preserve">, 1985, </w:t>
      </w:r>
      <w:proofErr w:type="spellStart"/>
      <w:r w:rsidRPr="004B2190">
        <w:rPr>
          <w:rFonts w:ascii="Times New Roman" w:hAnsi="Times New Roman" w:cs="Times New Roman"/>
          <w:sz w:val="16"/>
          <w:szCs w:val="16"/>
        </w:rPr>
        <w:t>ch</w:t>
      </w:r>
      <w:proofErr w:type="spellEnd"/>
      <w:r w:rsidRPr="004B2190">
        <w:rPr>
          <w:rFonts w:ascii="Times New Roman" w:hAnsi="Times New Roman" w:cs="Times New Roman"/>
          <w:sz w:val="16"/>
          <w:szCs w:val="16"/>
        </w:rPr>
        <w:t>. 4.</w:t>
      </w:r>
    </w:p>
    <w:p w:rsidR="00821F37" w:rsidRPr="004B2190" w:rsidRDefault="00821F37" w:rsidP="00821F37">
      <w:pPr>
        <w:pStyle w:val="References"/>
        <w:numPr>
          <w:ilvl w:val="0"/>
          <w:numId w:val="4"/>
        </w:numPr>
      </w:pPr>
      <w:r w:rsidRPr="004B2190">
        <w:t>B. Smith, “An approach to graphs of linear forms (Unpublished work style),” unpublished.</w:t>
      </w:r>
    </w:p>
    <w:p w:rsidR="00821F37" w:rsidRPr="004B2190" w:rsidRDefault="00821F37" w:rsidP="00821F37">
      <w:pPr>
        <w:numPr>
          <w:ilvl w:val="0"/>
          <w:numId w:val="4"/>
        </w:numPr>
        <w:autoSpaceDE w:val="0"/>
        <w:autoSpaceDN w:val="0"/>
        <w:spacing w:after="0" w:line="240" w:lineRule="auto"/>
        <w:jc w:val="both"/>
        <w:rPr>
          <w:rFonts w:ascii="Times New Roman" w:hAnsi="Times New Roman" w:cs="Times New Roman"/>
          <w:sz w:val="16"/>
          <w:szCs w:val="16"/>
        </w:rPr>
      </w:pPr>
      <w:r w:rsidRPr="004B2190">
        <w:rPr>
          <w:rFonts w:ascii="Times New Roman" w:hAnsi="Times New Roman" w:cs="Times New Roman"/>
          <w:sz w:val="16"/>
          <w:szCs w:val="16"/>
        </w:rPr>
        <w:t xml:space="preserve">E. H. Miller, “A note on reflector arrays (Periodical style—Accepted for publication),” </w:t>
      </w:r>
      <w:r w:rsidRPr="004B2190">
        <w:rPr>
          <w:rFonts w:ascii="Times New Roman" w:hAnsi="Times New Roman" w:cs="Times New Roman"/>
          <w:i/>
          <w:iCs/>
          <w:sz w:val="16"/>
          <w:szCs w:val="16"/>
        </w:rPr>
        <w:t xml:space="preserve">IEEE Trans. Antennas </w:t>
      </w:r>
      <w:proofErr w:type="spellStart"/>
      <w:r w:rsidRPr="004B2190">
        <w:rPr>
          <w:rFonts w:ascii="Times New Roman" w:hAnsi="Times New Roman" w:cs="Times New Roman"/>
          <w:i/>
          <w:iCs/>
          <w:sz w:val="16"/>
          <w:szCs w:val="16"/>
        </w:rPr>
        <w:t>Propagat</w:t>
      </w:r>
      <w:proofErr w:type="spellEnd"/>
      <w:r w:rsidRPr="004B2190">
        <w:rPr>
          <w:rFonts w:ascii="Times New Roman" w:hAnsi="Times New Roman" w:cs="Times New Roman"/>
          <w:i/>
          <w:iCs/>
          <w:sz w:val="16"/>
          <w:szCs w:val="16"/>
        </w:rPr>
        <w:t>.</w:t>
      </w:r>
      <w:r w:rsidRPr="004B2190">
        <w:rPr>
          <w:rFonts w:ascii="Times New Roman" w:hAnsi="Times New Roman" w:cs="Times New Roman"/>
          <w:sz w:val="16"/>
          <w:szCs w:val="16"/>
        </w:rPr>
        <w:t>, to be published.</w:t>
      </w:r>
    </w:p>
    <w:p w:rsidR="00821F37" w:rsidRPr="004B2190" w:rsidRDefault="00821F37" w:rsidP="00821F37">
      <w:pPr>
        <w:numPr>
          <w:ilvl w:val="0"/>
          <w:numId w:val="4"/>
        </w:numPr>
        <w:autoSpaceDE w:val="0"/>
        <w:autoSpaceDN w:val="0"/>
        <w:spacing w:after="0" w:line="240" w:lineRule="auto"/>
        <w:jc w:val="both"/>
        <w:rPr>
          <w:rFonts w:ascii="Times New Roman" w:hAnsi="Times New Roman" w:cs="Times New Roman"/>
          <w:sz w:val="16"/>
          <w:szCs w:val="16"/>
        </w:rPr>
      </w:pPr>
      <w:r w:rsidRPr="004B2190">
        <w:rPr>
          <w:rFonts w:ascii="Times New Roman" w:hAnsi="Times New Roman" w:cs="Times New Roman"/>
          <w:sz w:val="16"/>
          <w:szCs w:val="16"/>
        </w:rPr>
        <w:t xml:space="preserve">J. Wang, “Fundamentals of erbium-doped </w:t>
      </w:r>
      <w:proofErr w:type="spellStart"/>
      <w:r w:rsidRPr="004B2190">
        <w:rPr>
          <w:rFonts w:ascii="Times New Roman" w:hAnsi="Times New Roman" w:cs="Times New Roman"/>
          <w:sz w:val="16"/>
          <w:szCs w:val="16"/>
        </w:rPr>
        <w:t>fiber</w:t>
      </w:r>
      <w:proofErr w:type="spellEnd"/>
      <w:r w:rsidRPr="004B2190">
        <w:rPr>
          <w:rFonts w:ascii="Times New Roman" w:hAnsi="Times New Roman" w:cs="Times New Roman"/>
          <w:sz w:val="16"/>
          <w:szCs w:val="16"/>
        </w:rPr>
        <w:t xml:space="preserve"> amplifiers arrays (Periodical style—Submitted for publication),” </w:t>
      </w:r>
      <w:r w:rsidRPr="004B2190">
        <w:rPr>
          <w:rFonts w:ascii="Times New Roman" w:hAnsi="Times New Roman" w:cs="Times New Roman"/>
          <w:i/>
          <w:iCs/>
          <w:sz w:val="16"/>
          <w:szCs w:val="16"/>
        </w:rPr>
        <w:t>IEEE J. Quantum Electron.</w:t>
      </w:r>
      <w:r w:rsidRPr="004B2190">
        <w:rPr>
          <w:rFonts w:ascii="Times New Roman" w:hAnsi="Times New Roman" w:cs="Times New Roman"/>
          <w:sz w:val="16"/>
          <w:szCs w:val="16"/>
        </w:rPr>
        <w:t>, submitted for publication.</w:t>
      </w:r>
    </w:p>
    <w:p w:rsidR="00821F37" w:rsidRPr="004B2190" w:rsidRDefault="00821F37" w:rsidP="00821F37">
      <w:pPr>
        <w:pStyle w:val="References"/>
        <w:numPr>
          <w:ilvl w:val="0"/>
          <w:numId w:val="4"/>
        </w:numPr>
      </w:pPr>
      <w:r w:rsidRPr="004B2190">
        <w:t>C. J. Kaufman, Rocky Mountain Research Lab., Boulder, CO, private communication, May 1995.</w:t>
      </w:r>
    </w:p>
    <w:p w:rsidR="00821F37" w:rsidRPr="004B2190" w:rsidRDefault="00821F37" w:rsidP="00821F37">
      <w:pPr>
        <w:pStyle w:val="References"/>
        <w:numPr>
          <w:ilvl w:val="0"/>
          <w:numId w:val="4"/>
        </w:numPr>
      </w:pPr>
      <w:r w:rsidRPr="004B2190">
        <w:t xml:space="preserve">Y. Yorozu, M. Hirano, K. Oka, and Y. </w:t>
      </w:r>
      <w:proofErr w:type="spellStart"/>
      <w:r w:rsidRPr="004B2190">
        <w:t>Tagawa</w:t>
      </w:r>
      <w:proofErr w:type="spellEnd"/>
      <w:r w:rsidRPr="004B2190">
        <w:t xml:space="preserve">, “Electron spectroscopy studies on magneto-optical media and plastic substrate </w:t>
      </w:r>
      <w:proofErr w:type="gramStart"/>
      <w:r w:rsidRPr="004B2190">
        <w:t>interfaces(</w:t>
      </w:r>
      <w:proofErr w:type="gramEnd"/>
      <w:r w:rsidRPr="004B2190">
        <w:t xml:space="preserve">Translation Journals style),” </w:t>
      </w:r>
      <w:r w:rsidRPr="004B2190">
        <w:rPr>
          <w:i/>
          <w:iCs/>
        </w:rPr>
        <w:t xml:space="preserve">IEEE Transl. J. </w:t>
      </w:r>
      <w:proofErr w:type="spellStart"/>
      <w:r w:rsidRPr="004B2190">
        <w:rPr>
          <w:i/>
          <w:iCs/>
        </w:rPr>
        <w:t>Magn.Jpn</w:t>
      </w:r>
      <w:proofErr w:type="spellEnd"/>
      <w:r w:rsidRPr="004B2190">
        <w:rPr>
          <w:i/>
          <w:iCs/>
        </w:rPr>
        <w:t>.</w:t>
      </w:r>
      <w:r w:rsidRPr="004B2190">
        <w:t>, vol. 2, Aug. 1987, pp. 740–741 [</w:t>
      </w:r>
      <w:r w:rsidRPr="004B2190">
        <w:rPr>
          <w:i/>
          <w:iCs/>
        </w:rPr>
        <w:t>Dig. 9</w:t>
      </w:r>
      <w:r w:rsidRPr="004B2190">
        <w:rPr>
          <w:i/>
          <w:iCs/>
          <w:vertAlign w:val="superscript"/>
        </w:rPr>
        <w:t>th</w:t>
      </w:r>
      <w:r w:rsidRPr="004B2190">
        <w:rPr>
          <w:i/>
          <w:iCs/>
        </w:rPr>
        <w:t xml:space="preserve"> </w:t>
      </w:r>
      <w:proofErr w:type="spellStart"/>
      <w:r w:rsidRPr="004B2190">
        <w:rPr>
          <w:i/>
          <w:iCs/>
        </w:rPr>
        <w:t>Annu</w:t>
      </w:r>
      <w:proofErr w:type="spellEnd"/>
      <w:r w:rsidRPr="004B2190">
        <w:rPr>
          <w:i/>
          <w:iCs/>
        </w:rPr>
        <w:t>. Conf. Magnetics</w:t>
      </w:r>
      <w:r w:rsidRPr="004B2190">
        <w:t xml:space="preserve"> </w:t>
      </w:r>
      <w:smartTag w:uri="urn:schemas-microsoft-com:office:smarttags" w:element="place">
        <w:smartTag w:uri="urn:schemas-microsoft-com:office:smarttags" w:element="country-region">
          <w:r w:rsidRPr="004B2190">
            <w:t>Japan</w:t>
          </w:r>
        </w:smartTag>
      </w:smartTag>
      <w:r w:rsidRPr="004B2190">
        <w:t>, 1982, p. 301].</w:t>
      </w:r>
    </w:p>
    <w:p w:rsidR="00821F37" w:rsidRPr="004B2190" w:rsidRDefault="00821F37" w:rsidP="00821F37">
      <w:pPr>
        <w:pStyle w:val="References"/>
        <w:numPr>
          <w:ilvl w:val="0"/>
          <w:numId w:val="4"/>
        </w:numPr>
      </w:pPr>
      <w:r w:rsidRPr="004B2190">
        <w:t xml:space="preserve">M. Young, </w:t>
      </w:r>
      <w:proofErr w:type="gramStart"/>
      <w:r w:rsidRPr="004B2190">
        <w:rPr>
          <w:i/>
          <w:iCs/>
        </w:rPr>
        <w:t>The</w:t>
      </w:r>
      <w:proofErr w:type="gramEnd"/>
      <w:r w:rsidRPr="004B2190">
        <w:rPr>
          <w:i/>
          <w:iCs/>
        </w:rPr>
        <w:t xml:space="preserve"> </w:t>
      </w:r>
      <w:proofErr w:type="spellStart"/>
      <w:r w:rsidRPr="004B2190">
        <w:rPr>
          <w:i/>
          <w:iCs/>
        </w:rPr>
        <w:t>Techincal</w:t>
      </w:r>
      <w:proofErr w:type="spellEnd"/>
      <w:r w:rsidRPr="004B2190">
        <w:rPr>
          <w:i/>
          <w:iCs/>
        </w:rPr>
        <w:t xml:space="preserve"> Writers Handbook.</w:t>
      </w:r>
      <w:r w:rsidRPr="004B2190">
        <w:t xml:space="preserve">  </w:t>
      </w:r>
      <w:smartTag w:uri="urn:schemas-microsoft-com:office:smarttags" w:element="place">
        <w:smartTag w:uri="urn:schemas-microsoft-com:office:smarttags" w:element="City">
          <w:r w:rsidRPr="004B2190">
            <w:t>Mill Valley</w:t>
          </w:r>
        </w:smartTag>
        <w:r w:rsidRPr="004B2190">
          <w:t xml:space="preserve">, </w:t>
        </w:r>
        <w:smartTag w:uri="urn:schemas-microsoft-com:office:smarttags" w:element="State">
          <w:r w:rsidRPr="004B2190">
            <w:t>CA</w:t>
          </w:r>
        </w:smartTag>
      </w:smartTag>
      <w:r w:rsidRPr="004B2190">
        <w:t>: University Science, 1989.</w:t>
      </w:r>
    </w:p>
    <w:p w:rsidR="00821F37" w:rsidRPr="004B2190" w:rsidRDefault="00821F37" w:rsidP="00821F37">
      <w:pPr>
        <w:numPr>
          <w:ilvl w:val="0"/>
          <w:numId w:val="4"/>
        </w:numPr>
        <w:autoSpaceDE w:val="0"/>
        <w:autoSpaceDN w:val="0"/>
        <w:spacing w:after="0" w:line="240" w:lineRule="auto"/>
        <w:jc w:val="both"/>
        <w:rPr>
          <w:rFonts w:ascii="Times New Roman" w:hAnsi="Times New Roman" w:cs="Times New Roman"/>
          <w:sz w:val="16"/>
          <w:szCs w:val="16"/>
        </w:rPr>
      </w:pPr>
      <w:r w:rsidRPr="004B2190">
        <w:rPr>
          <w:rFonts w:ascii="Times New Roman" w:hAnsi="Times New Roman" w:cs="Times New Roman"/>
          <w:sz w:val="16"/>
          <w:szCs w:val="16"/>
        </w:rPr>
        <w:t xml:space="preserve">J. U. </w:t>
      </w:r>
      <w:proofErr w:type="spellStart"/>
      <w:r w:rsidRPr="004B2190">
        <w:rPr>
          <w:rFonts w:ascii="Times New Roman" w:hAnsi="Times New Roman" w:cs="Times New Roman"/>
          <w:sz w:val="16"/>
          <w:szCs w:val="16"/>
        </w:rPr>
        <w:t>Duncombe</w:t>
      </w:r>
      <w:proofErr w:type="spellEnd"/>
      <w:r w:rsidRPr="004B2190">
        <w:rPr>
          <w:rFonts w:ascii="Times New Roman" w:hAnsi="Times New Roman" w:cs="Times New Roman"/>
          <w:sz w:val="16"/>
          <w:szCs w:val="16"/>
        </w:rPr>
        <w:t xml:space="preserve">, “Infrared navigation—Part I: An assessment of feasibility (Periodical style),” </w:t>
      </w:r>
      <w:r w:rsidRPr="004B2190">
        <w:rPr>
          <w:rFonts w:ascii="Times New Roman" w:hAnsi="Times New Roman" w:cs="Times New Roman"/>
          <w:i/>
          <w:iCs/>
          <w:sz w:val="16"/>
          <w:szCs w:val="16"/>
        </w:rPr>
        <w:t>IEEE Trans. Electron Devices</w:t>
      </w:r>
      <w:r w:rsidRPr="004B2190">
        <w:rPr>
          <w:rFonts w:ascii="Times New Roman" w:hAnsi="Times New Roman" w:cs="Times New Roman"/>
          <w:sz w:val="16"/>
          <w:szCs w:val="16"/>
        </w:rPr>
        <w:t>, vol. ED-11, pp. 34–39, Jan. 1959.</w:t>
      </w:r>
    </w:p>
    <w:p w:rsidR="00821F37" w:rsidRPr="004B2190" w:rsidRDefault="00821F37" w:rsidP="00821F37">
      <w:pPr>
        <w:numPr>
          <w:ilvl w:val="0"/>
          <w:numId w:val="4"/>
        </w:numPr>
        <w:autoSpaceDE w:val="0"/>
        <w:autoSpaceDN w:val="0"/>
        <w:spacing w:after="0" w:line="240" w:lineRule="auto"/>
        <w:jc w:val="both"/>
        <w:rPr>
          <w:rFonts w:ascii="Times New Roman" w:hAnsi="Times New Roman" w:cs="Times New Roman"/>
          <w:sz w:val="16"/>
          <w:szCs w:val="16"/>
        </w:rPr>
      </w:pPr>
      <w:r w:rsidRPr="004B2190">
        <w:rPr>
          <w:rFonts w:ascii="Times New Roman" w:hAnsi="Times New Roman" w:cs="Times New Roman"/>
          <w:sz w:val="16"/>
          <w:szCs w:val="16"/>
        </w:rPr>
        <w:tab/>
        <w:t xml:space="preserve">S. Chen, B. </w:t>
      </w:r>
      <w:proofErr w:type="spellStart"/>
      <w:r w:rsidRPr="004B2190">
        <w:rPr>
          <w:rFonts w:ascii="Times New Roman" w:hAnsi="Times New Roman" w:cs="Times New Roman"/>
          <w:sz w:val="16"/>
          <w:szCs w:val="16"/>
        </w:rPr>
        <w:t>Mulgrew</w:t>
      </w:r>
      <w:proofErr w:type="spellEnd"/>
      <w:r w:rsidRPr="004B2190">
        <w:rPr>
          <w:rFonts w:ascii="Times New Roman" w:hAnsi="Times New Roman" w:cs="Times New Roman"/>
          <w:sz w:val="16"/>
          <w:szCs w:val="16"/>
        </w:rPr>
        <w:t xml:space="preserve">, and P. M. Grant, “A clustering technique for digital communications channel equalization using radial basis function networks,” </w:t>
      </w:r>
      <w:r w:rsidRPr="004B2190">
        <w:rPr>
          <w:rFonts w:ascii="Times New Roman" w:hAnsi="Times New Roman" w:cs="Times New Roman"/>
          <w:i/>
          <w:iCs/>
          <w:sz w:val="16"/>
          <w:szCs w:val="16"/>
        </w:rPr>
        <w:t>IEEE Trans. Neural Networks</w:t>
      </w:r>
      <w:r w:rsidRPr="004B2190">
        <w:rPr>
          <w:rFonts w:ascii="Times New Roman" w:hAnsi="Times New Roman" w:cs="Times New Roman"/>
          <w:sz w:val="16"/>
          <w:szCs w:val="16"/>
        </w:rPr>
        <w:t>, vol. 4, pp. 570–578, July 1993.</w:t>
      </w:r>
    </w:p>
    <w:p w:rsidR="00821F37" w:rsidRPr="004B2190" w:rsidRDefault="00821F37" w:rsidP="00821F37">
      <w:pPr>
        <w:numPr>
          <w:ilvl w:val="0"/>
          <w:numId w:val="4"/>
        </w:numPr>
        <w:autoSpaceDE w:val="0"/>
        <w:autoSpaceDN w:val="0"/>
        <w:spacing w:after="0" w:line="240" w:lineRule="auto"/>
        <w:jc w:val="both"/>
        <w:rPr>
          <w:rFonts w:ascii="Times New Roman" w:hAnsi="Times New Roman" w:cs="Times New Roman"/>
          <w:sz w:val="16"/>
          <w:szCs w:val="16"/>
        </w:rPr>
      </w:pPr>
      <w:r w:rsidRPr="004B2190">
        <w:rPr>
          <w:rFonts w:ascii="Times New Roman" w:hAnsi="Times New Roman" w:cs="Times New Roman"/>
          <w:sz w:val="16"/>
          <w:szCs w:val="16"/>
        </w:rPr>
        <w:t xml:space="preserve">R. W. Lucky, “Automatic equalization for digital communication,” </w:t>
      </w:r>
      <w:r w:rsidRPr="004B2190">
        <w:rPr>
          <w:rFonts w:ascii="Times New Roman" w:hAnsi="Times New Roman" w:cs="Times New Roman"/>
          <w:i/>
          <w:iCs/>
          <w:sz w:val="16"/>
          <w:szCs w:val="16"/>
        </w:rPr>
        <w:t>Bell Syst. Tech. J.</w:t>
      </w:r>
      <w:r w:rsidRPr="004B2190">
        <w:rPr>
          <w:rFonts w:ascii="Times New Roman" w:hAnsi="Times New Roman" w:cs="Times New Roman"/>
          <w:sz w:val="16"/>
          <w:szCs w:val="16"/>
        </w:rPr>
        <w:t>, vol. 44, no. 4, pp. 547–588, Apr. 1965.</w:t>
      </w:r>
    </w:p>
    <w:p w:rsidR="00821F37" w:rsidRPr="004B2190" w:rsidRDefault="00821F37" w:rsidP="00821F37">
      <w:pPr>
        <w:numPr>
          <w:ilvl w:val="0"/>
          <w:numId w:val="4"/>
        </w:numPr>
        <w:autoSpaceDE w:val="0"/>
        <w:autoSpaceDN w:val="0"/>
        <w:spacing w:after="0" w:line="240" w:lineRule="auto"/>
        <w:jc w:val="both"/>
        <w:rPr>
          <w:rFonts w:ascii="Times New Roman" w:hAnsi="Times New Roman" w:cs="Times New Roman"/>
          <w:sz w:val="16"/>
          <w:szCs w:val="16"/>
        </w:rPr>
      </w:pPr>
      <w:r w:rsidRPr="004B2190">
        <w:rPr>
          <w:rFonts w:ascii="Times New Roman" w:hAnsi="Times New Roman" w:cs="Times New Roman"/>
          <w:sz w:val="16"/>
          <w:szCs w:val="16"/>
        </w:rPr>
        <w:t xml:space="preserve">S. P. </w:t>
      </w:r>
      <w:proofErr w:type="spellStart"/>
      <w:r w:rsidRPr="004B2190">
        <w:rPr>
          <w:rFonts w:ascii="Times New Roman" w:hAnsi="Times New Roman" w:cs="Times New Roman"/>
          <w:sz w:val="16"/>
          <w:szCs w:val="16"/>
        </w:rPr>
        <w:t>Bingulac</w:t>
      </w:r>
      <w:proofErr w:type="spellEnd"/>
      <w:r w:rsidRPr="004B2190">
        <w:rPr>
          <w:rFonts w:ascii="Times New Roman" w:hAnsi="Times New Roman" w:cs="Times New Roman"/>
          <w:sz w:val="16"/>
          <w:szCs w:val="16"/>
        </w:rPr>
        <w:t xml:space="preserve">, “On the compatibility of adaptive controllers (Published Conference Proceedings style),” in </w:t>
      </w:r>
      <w:r w:rsidRPr="004B2190">
        <w:rPr>
          <w:rFonts w:ascii="Times New Roman" w:hAnsi="Times New Roman" w:cs="Times New Roman"/>
          <w:i/>
          <w:iCs/>
          <w:sz w:val="16"/>
          <w:szCs w:val="16"/>
        </w:rPr>
        <w:t xml:space="preserve">Proc. 4th </w:t>
      </w:r>
      <w:proofErr w:type="spellStart"/>
      <w:r w:rsidRPr="004B2190">
        <w:rPr>
          <w:rFonts w:ascii="Times New Roman" w:hAnsi="Times New Roman" w:cs="Times New Roman"/>
          <w:i/>
          <w:iCs/>
          <w:sz w:val="16"/>
          <w:szCs w:val="16"/>
        </w:rPr>
        <w:t>Annu</w:t>
      </w:r>
      <w:proofErr w:type="spellEnd"/>
      <w:r w:rsidRPr="004B2190">
        <w:rPr>
          <w:rFonts w:ascii="Times New Roman" w:hAnsi="Times New Roman" w:cs="Times New Roman"/>
          <w:i/>
          <w:iCs/>
          <w:sz w:val="16"/>
          <w:szCs w:val="16"/>
        </w:rPr>
        <w:t xml:space="preserve">. </w:t>
      </w:r>
      <w:proofErr w:type="spellStart"/>
      <w:r w:rsidRPr="004B2190">
        <w:rPr>
          <w:rFonts w:ascii="Times New Roman" w:hAnsi="Times New Roman" w:cs="Times New Roman"/>
          <w:i/>
          <w:iCs/>
          <w:sz w:val="16"/>
          <w:szCs w:val="16"/>
        </w:rPr>
        <w:t>Allerton</w:t>
      </w:r>
      <w:proofErr w:type="spellEnd"/>
      <w:r w:rsidRPr="004B2190">
        <w:rPr>
          <w:rFonts w:ascii="Times New Roman" w:hAnsi="Times New Roman" w:cs="Times New Roman"/>
          <w:i/>
          <w:iCs/>
          <w:sz w:val="16"/>
          <w:szCs w:val="16"/>
        </w:rPr>
        <w:t xml:space="preserve"> Conf. Circuits and Systems Theory</w:t>
      </w:r>
      <w:r w:rsidRPr="004B2190">
        <w:rPr>
          <w:rFonts w:ascii="Times New Roman" w:hAnsi="Times New Roman" w:cs="Times New Roman"/>
          <w:sz w:val="16"/>
          <w:szCs w:val="16"/>
        </w:rPr>
        <w:t xml:space="preserve">, </w:t>
      </w:r>
      <w:smartTag w:uri="urn:schemas-microsoft-com:office:smarttags" w:element="place">
        <w:smartTag w:uri="urn:schemas-microsoft-com:office:smarttags" w:element="State">
          <w:r w:rsidRPr="004B2190">
            <w:rPr>
              <w:rFonts w:ascii="Times New Roman" w:hAnsi="Times New Roman" w:cs="Times New Roman"/>
              <w:sz w:val="16"/>
              <w:szCs w:val="16"/>
            </w:rPr>
            <w:t>New York</w:t>
          </w:r>
        </w:smartTag>
      </w:smartTag>
      <w:r w:rsidRPr="004B2190">
        <w:rPr>
          <w:rFonts w:ascii="Times New Roman" w:hAnsi="Times New Roman" w:cs="Times New Roman"/>
          <w:sz w:val="16"/>
          <w:szCs w:val="16"/>
        </w:rPr>
        <w:t>, 1994, pp. 8–16.</w:t>
      </w:r>
    </w:p>
    <w:p w:rsidR="00821F37" w:rsidRPr="004B2190" w:rsidRDefault="00821F37" w:rsidP="00821F37">
      <w:pPr>
        <w:numPr>
          <w:ilvl w:val="0"/>
          <w:numId w:val="4"/>
        </w:numPr>
        <w:autoSpaceDE w:val="0"/>
        <w:autoSpaceDN w:val="0"/>
        <w:spacing w:after="0" w:line="240" w:lineRule="auto"/>
        <w:jc w:val="both"/>
        <w:rPr>
          <w:rFonts w:ascii="Times New Roman" w:hAnsi="Times New Roman" w:cs="Times New Roman"/>
          <w:sz w:val="16"/>
          <w:szCs w:val="16"/>
        </w:rPr>
      </w:pPr>
      <w:r w:rsidRPr="004B2190">
        <w:rPr>
          <w:rFonts w:ascii="Times New Roman" w:hAnsi="Times New Roman" w:cs="Times New Roman"/>
          <w:sz w:val="16"/>
          <w:szCs w:val="16"/>
        </w:rPr>
        <w:t xml:space="preserve">G. R. </w:t>
      </w:r>
      <w:proofErr w:type="spellStart"/>
      <w:r w:rsidRPr="004B2190">
        <w:rPr>
          <w:rFonts w:ascii="Times New Roman" w:hAnsi="Times New Roman" w:cs="Times New Roman"/>
          <w:sz w:val="16"/>
          <w:szCs w:val="16"/>
        </w:rPr>
        <w:t>Faulhaber</w:t>
      </w:r>
      <w:proofErr w:type="spellEnd"/>
      <w:r w:rsidRPr="004B2190">
        <w:rPr>
          <w:rFonts w:ascii="Times New Roman" w:hAnsi="Times New Roman" w:cs="Times New Roman"/>
          <w:sz w:val="16"/>
          <w:szCs w:val="16"/>
        </w:rPr>
        <w:t xml:space="preserve">, “Design of service systems with priority reservation,” in </w:t>
      </w:r>
      <w:r w:rsidRPr="004B2190">
        <w:rPr>
          <w:rFonts w:ascii="Times New Roman" w:hAnsi="Times New Roman" w:cs="Times New Roman"/>
          <w:i/>
          <w:iCs/>
          <w:sz w:val="16"/>
          <w:szCs w:val="16"/>
        </w:rPr>
        <w:t>Conf. Rec. 1995 IEEE Int. Conf. Communications,</w:t>
      </w:r>
      <w:r w:rsidRPr="004B2190">
        <w:rPr>
          <w:rFonts w:ascii="Times New Roman" w:hAnsi="Times New Roman" w:cs="Times New Roman"/>
          <w:sz w:val="16"/>
          <w:szCs w:val="16"/>
        </w:rPr>
        <w:t xml:space="preserve"> pp. 3–8.</w:t>
      </w:r>
    </w:p>
    <w:p w:rsidR="00821F37" w:rsidRPr="004B2190" w:rsidRDefault="00821F37" w:rsidP="00821F37">
      <w:pPr>
        <w:rPr>
          <w:rFonts w:ascii="Times New Roman" w:hAnsi="Times New Roman" w:cs="Times New Roman"/>
        </w:rPr>
      </w:pPr>
      <w:r w:rsidRPr="004B2190">
        <w:rPr>
          <w:rFonts w:ascii="Times New Roman" w:hAnsi="Times New Roman" w:cs="Times New Roman"/>
          <w:sz w:val="16"/>
          <w:szCs w:val="16"/>
        </w:rPr>
        <w:t xml:space="preserve">W. D. Doyle, “Magnetization reversal in films with biaxial anisotropy,” in </w:t>
      </w:r>
      <w:r w:rsidRPr="004B2190">
        <w:rPr>
          <w:rFonts w:ascii="Times New Roman" w:hAnsi="Times New Roman" w:cs="Times New Roman"/>
          <w:i/>
          <w:iCs/>
          <w:sz w:val="16"/>
          <w:szCs w:val="16"/>
        </w:rPr>
        <w:t>1987 Proc. INTERMAG Conf.</w:t>
      </w:r>
      <w:r w:rsidRPr="004B2190">
        <w:rPr>
          <w:rFonts w:ascii="Times New Roman" w:hAnsi="Times New Roman" w:cs="Times New Roman"/>
          <w:sz w:val="16"/>
          <w:szCs w:val="16"/>
        </w:rPr>
        <w:t>, pp. 2.2-1–2.2-6.</w:t>
      </w:r>
    </w:p>
    <w:sectPr w:rsidR="00821F37" w:rsidRPr="004B2190" w:rsidSect="00F819E0">
      <w:type w:val="continuous"/>
      <w:pgSz w:w="11906" w:h="16838"/>
      <w:pgMar w:top="1009" w:right="936" w:bottom="1009" w:left="1009" w:header="709" w:footer="709" w:gutter="0"/>
      <w:cols w:num="2" w:space="28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76" w:rsidRDefault="00027D76" w:rsidP="00821F37">
      <w:pPr>
        <w:spacing w:after="0" w:line="240" w:lineRule="auto"/>
      </w:pPr>
      <w:r>
        <w:separator/>
      </w:r>
    </w:p>
  </w:endnote>
  <w:endnote w:type="continuationSeparator" w:id="0">
    <w:p w:rsidR="00027D76" w:rsidRDefault="00027D76" w:rsidP="00821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76" w:rsidRDefault="00027D76" w:rsidP="00821F37">
      <w:pPr>
        <w:spacing w:after="0" w:line="240" w:lineRule="auto"/>
      </w:pPr>
      <w:r>
        <w:separator/>
      </w:r>
    </w:p>
  </w:footnote>
  <w:footnote w:type="continuationSeparator" w:id="0">
    <w:p w:rsidR="00027D76" w:rsidRDefault="00027D76" w:rsidP="00821F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3987B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nsid w:val="2517274C"/>
    <w:multiLevelType w:val="singleLevel"/>
    <w:tmpl w:val="04090011"/>
    <w:lvl w:ilvl="0">
      <w:start w:val="1"/>
      <w:numFmt w:val="decimal"/>
      <w:lvlText w:val="%1)"/>
      <w:lvlJc w:val="left"/>
      <w:pPr>
        <w:tabs>
          <w:tab w:val="num" w:pos="360"/>
        </w:tabs>
        <w:ind w:left="360" w:hanging="360"/>
      </w:p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21F37"/>
    <w:rsid w:val="00002D0E"/>
    <w:rsid w:val="00007E59"/>
    <w:rsid w:val="00027D76"/>
    <w:rsid w:val="000D26B2"/>
    <w:rsid w:val="001304AF"/>
    <w:rsid w:val="00165C9D"/>
    <w:rsid w:val="002E3454"/>
    <w:rsid w:val="0031404D"/>
    <w:rsid w:val="003D14EC"/>
    <w:rsid w:val="00462651"/>
    <w:rsid w:val="004B2190"/>
    <w:rsid w:val="004F3FAA"/>
    <w:rsid w:val="00567DC3"/>
    <w:rsid w:val="00574E3D"/>
    <w:rsid w:val="0061248B"/>
    <w:rsid w:val="00662397"/>
    <w:rsid w:val="006744E2"/>
    <w:rsid w:val="00675A54"/>
    <w:rsid w:val="007074A5"/>
    <w:rsid w:val="00821F37"/>
    <w:rsid w:val="00993947"/>
    <w:rsid w:val="00A15483"/>
    <w:rsid w:val="00A9048F"/>
    <w:rsid w:val="00CE330C"/>
    <w:rsid w:val="00DB398E"/>
    <w:rsid w:val="00E213EF"/>
    <w:rsid w:val="00F80D44"/>
    <w:rsid w:val="00F81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51"/>
  </w:style>
  <w:style w:type="paragraph" w:styleId="Heading1">
    <w:name w:val="heading 1"/>
    <w:basedOn w:val="Normal"/>
    <w:next w:val="Normal"/>
    <w:link w:val="Heading1Char"/>
    <w:qFormat/>
    <w:rsid w:val="00821F3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Heading2">
    <w:name w:val="heading 2"/>
    <w:basedOn w:val="Normal"/>
    <w:next w:val="Normal"/>
    <w:link w:val="Heading2Char"/>
    <w:qFormat/>
    <w:rsid w:val="00821F37"/>
    <w:pPr>
      <w:keepNext/>
      <w:numPr>
        <w:ilvl w:val="1"/>
        <w:numId w:val="1"/>
      </w:numPr>
      <w:autoSpaceDE w:val="0"/>
      <w:autoSpaceDN w:val="0"/>
      <w:spacing w:before="120" w:after="60" w:line="240" w:lineRule="auto"/>
      <w:outlineLvl w:val="1"/>
    </w:pPr>
    <w:rPr>
      <w:rFonts w:ascii="Times New Roman" w:eastAsia="Times New Roman" w:hAnsi="Times New Roman" w:cs="Times New Roman"/>
      <w:i/>
      <w:iCs/>
      <w:sz w:val="20"/>
      <w:szCs w:val="20"/>
      <w:lang w:val="en-US"/>
    </w:rPr>
  </w:style>
  <w:style w:type="paragraph" w:styleId="Heading3">
    <w:name w:val="heading 3"/>
    <w:basedOn w:val="Normal"/>
    <w:next w:val="Normal"/>
    <w:link w:val="Heading3Char"/>
    <w:qFormat/>
    <w:rsid w:val="00821F37"/>
    <w:pPr>
      <w:keepNext/>
      <w:numPr>
        <w:ilvl w:val="2"/>
        <w:numId w:val="1"/>
      </w:numPr>
      <w:autoSpaceDE w:val="0"/>
      <w:autoSpaceDN w:val="0"/>
      <w:spacing w:after="0" w:line="240" w:lineRule="auto"/>
      <w:outlineLvl w:val="2"/>
    </w:pPr>
    <w:rPr>
      <w:rFonts w:ascii="Times New Roman" w:eastAsia="Times New Roman" w:hAnsi="Times New Roman" w:cs="Times New Roman"/>
      <w:i/>
      <w:iCs/>
      <w:sz w:val="20"/>
      <w:szCs w:val="20"/>
      <w:lang w:val="en-US"/>
    </w:rPr>
  </w:style>
  <w:style w:type="paragraph" w:styleId="Heading4">
    <w:name w:val="heading 4"/>
    <w:basedOn w:val="Normal"/>
    <w:next w:val="Normal"/>
    <w:link w:val="Heading4Char"/>
    <w:qFormat/>
    <w:rsid w:val="00821F3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Heading5">
    <w:name w:val="heading 5"/>
    <w:basedOn w:val="Normal"/>
    <w:next w:val="Normal"/>
    <w:link w:val="Heading5Char"/>
    <w:qFormat/>
    <w:rsid w:val="00821F3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Heading6">
    <w:name w:val="heading 6"/>
    <w:basedOn w:val="Normal"/>
    <w:next w:val="Normal"/>
    <w:link w:val="Heading6Char"/>
    <w:qFormat/>
    <w:rsid w:val="00821F3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qFormat/>
    <w:rsid w:val="00821F3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qFormat/>
    <w:rsid w:val="00821F3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qFormat/>
    <w:rsid w:val="00821F3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821F37"/>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821F37"/>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Title">
    <w:name w:val="IEEE Title"/>
    <w:basedOn w:val="Normal"/>
    <w:next w:val="IEEEAuthorName"/>
    <w:rsid w:val="00821F37"/>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Heading1Char">
    <w:name w:val="Heading 1 Char"/>
    <w:basedOn w:val="DefaultParagraphFont"/>
    <w:link w:val="Heading1"/>
    <w:rsid w:val="00821F37"/>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821F37"/>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821F37"/>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821F37"/>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821F37"/>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821F37"/>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821F37"/>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821F37"/>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821F37"/>
    <w:rPr>
      <w:rFonts w:ascii="Times New Roman" w:eastAsia="Times New Roman" w:hAnsi="Times New Roman" w:cs="Times New Roman"/>
      <w:sz w:val="16"/>
      <w:szCs w:val="16"/>
      <w:lang w:val="en-US"/>
    </w:rPr>
  </w:style>
  <w:style w:type="paragraph" w:customStyle="1" w:styleId="Abstract">
    <w:name w:val="Abstract"/>
    <w:basedOn w:val="Normal"/>
    <w:next w:val="Normal"/>
    <w:rsid w:val="00821F37"/>
    <w:pPr>
      <w:autoSpaceDE w:val="0"/>
      <w:autoSpaceDN w:val="0"/>
      <w:spacing w:before="20" w:after="0" w:line="240" w:lineRule="auto"/>
      <w:ind w:firstLine="202"/>
      <w:jc w:val="both"/>
    </w:pPr>
    <w:rPr>
      <w:rFonts w:ascii="Times New Roman" w:eastAsia="Times New Roman" w:hAnsi="Times New Roman" w:cs="Times New Roman"/>
      <w:b/>
      <w:bCs/>
      <w:sz w:val="18"/>
      <w:szCs w:val="18"/>
      <w:lang w:val="en-US"/>
    </w:rPr>
  </w:style>
  <w:style w:type="paragraph" w:customStyle="1" w:styleId="IndexTerms">
    <w:name w:val="IndexTerms"/>
    <w:basedOn w:val="Normal"/>
    <w:next w:val="Normal"/>
    <w:rsid w:val="00821F37"/>
    <w:pPr>
      <w:autoSpaceDE w:val="0"/>
      <w:autoSpaceDN w:val="0"/>
      <w:spacing w:after="0" w:line="240" w:lineRule="auto"/>
      <w:ind w:firstLine="202"/>
      <w:jc w:val="both"/>
    </w:pPr>
    <w:rPr>
      <w:rFonts w:ascii="Times New Roman" w:eastAsia="Times New Roman" w:hAnsi="Times New Roman" w:cs="Times New Roman"/>
      <w:b/>
      <w:bCs/>
      <w:sz w:val="18"/>
      <w:szCs w:val="18"/>
      <w:lang w:val="en-US"/>
    </w:rPr>
  </w:style>
  <w:style w:type="paragraph" w:customStyle="1" w:styleId="Text">
    <w:name w:val="Text"/>
    <w:basedOn w:val="Normal"/>
    <w:rsid w:val="00821F37"/>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821F37"/>
    <w:pPr>
      <w:autoSpaceDE w:val="0"/>
      <w:autoSpaceDN w:val="0"/>
      <w:spacing w:after="0" w:line="240" w:lineRule="auto"/>
      <w:ind w:firstLine="202"/>
      <w:jc w:val="both"/>
    </w:pPr>
    <w:rPr>
      <w:rFonts w:ascii="Times New Roman" w:eastAsia="Times New Roman" w:hAnsi="Times New Roman" w:cs="Times New Roman"/>
      <w:sz w:val="16"/>
      <w:szCs w:val="16"/>
      <w:lang w:val="en-US"/>
    </w:rPr>
  </w:style>
  <w:style w:type="character" w:customStyle="1" w:styleId="FootnoteTextChar">
    <w:name w:val="Footnote Text Char"/>
    <w:basedOn w:val="DefaultParagraphFont"/>
    <w:link w:val="FootnoteText"/>
    <w:semiHidden/>
    <w:rsid w:val="00821F37"/>
    <w:rPr>
      <w:rFonts w:ascii="Times New Roman" w:eastAsia="Times New Roman" w:hAnsi="Times New Roman" w:cs="Times New Roman"/>
      <w:sz w:val="16"/>
      <w:szCs w:val="16"/>
      <w:lang w:val="en-US"/>
    </w:rPr>
  </w:style>
  <w:style w:type="paragraph" w:customStyle="1" w:styleId="References">
    <w:name w:val="References"/>
    <w:basedOn w:val="Normal"/>
    <w:rsid w:val="00821F37"/>
    <w:pPr>
      <w:numPr>
        <w:numId w:val="2"/>
      </w:numPr>
      <w:autoSpaceDE w:val="0"/>
      <w:autoSpaceDN w:val="0"/>
      <w:spacing w:after="0" w:line="240" w:lineRule="auto"/>
      <w:jc w:val="both"/>
    </w:pPr>
    <w:rPr>
      <w:rFonts w:ascii="Times New Roman" w:eastAsia="Times New Roman" w:hAnsi="Times New Roman" w:cs="Times New Roman"/>
      <w:sz w:val="16"/>
      <w:szCs w:val="16"/>
      <w:lang w:val="en-US"/>
    </w:rPr>
  </w:style>
  <w:style w:type="character" w:styleId="FootnoteReference">
    <w:name w:val="footnote reference"/>
    <w:basedOn w:val="DefaultParagraphFont"/>
    <w:semiHidden/>
    <w:rsid w:val="00821F37"/>
    <w:rPr>
      <w:vertAlign w:val="superscript"/>
    </w:rPr>
  </w:style>
  <w:style w:type="paragraph" w:customStyle="1" w:styleId="TableTitle">
    <w:name w:val="Table Title"/>
    <w:basedOn w:val="Normal"/>
    <w:rsid w:val="00821F37"/>
    <w:pPr>
      <w:autoSpaceDE w:val="0"/>
      <w:autoSpaceDN w:val="0"/>
      <w:spacing w:after="0" w:line="240" w:lineRule="auto"/>
      <w:jc w:val="center"/>
    </w:pPr>
    <w:rPr>
      <w:rFonts w:ascii="Times New Roman" w:eastAsia="Times New Roman" w:hAnsi="Times New Roman" w:cs="Times New Roman"/>
      <w:smallCaps/>
      <w:sz w:val="16"/>
      <w:szCs w:val="16"/>
      <w:lang w:val="en-US"/>
    </w:rPr>
  </w:style>
  <w:style w:type="paragraph" w:customStyle="1" w:styleId="ReferenceHead">
    <w:name w:val="Reference Head"/>
    <w:basedOn w:val="Heading1"/>
    <w:rsid w:val="00821F37"/>
    <w:pPr>
      <w:numPr>
        <w:numId w:val="0"/>
      </w:numPr>
    </w:pPr>
  </w:style>
  <w:style w:type="paragraph" w:customStyle="1" w:styleId="Equation">
    <w:name w:val="Equation"/>
    <w:basedOn w:val="Normal"/>
    <w:next w:val="Normal"/>
    <w:rsid w:val="00821F37"/>
    <w:pPr>
      <w:widowControl w:val="0"/>
      <w:tabs>
        <w:tab w:val="right" w:pos="5040"/>
      </w:tabs>
      <w:autoSpaceDE w:val="0"/>
      <w:autoSpaceDN w:val="0"/>
      <w:spacing w:after="0" w:line="252" w:lineRule="auto"/>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21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F37"/>
    <w:rPr>
      <w:rFonts w:ascii="Tahoma" w:hAnsi="Tahoma" w:cs="Tahoma"/>
      <w:sz w:val="16"/>
      <w:szCs w:val="16"/>
    </w:rPr>
  </w:style>
  <w:style w:type="paragraph" w:styleId="Header">
    <w:name w:val="header"/>
    <w:basedOn w:val="Normal"/>
    <w:link w:val="HeaderChar"/>
    <w:uiPriority w:val="99"/>
    <w:unhideWhenUsed/>
    <w:rsid w:val="00612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48B"/>
  </w:style>
  <w:style w:type="paragraph" w:styleId="Footer">
    <w:name w:val="footer"/>
    <w:basedOn w:val="Normal"/>
    <w:link w:val="FooterChar"/>
    <w:uiPriority w:val="99"/>
    <w:semiHidden/>
    <w:unhideWhenUsed/>
    <w:rsid w:val="006124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24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ABDEFG</dc:creator>
  <cp:lastModifiedBy>dr. harish</cp:lastModifiedBy>
  <cp:revision>14</cp:revision>
  <dcterms:created xsi:type="dcterms:W3CDTF">2013-08-04T08:51:00Z</dcterms:created>
  <dcterms:modified xsi:type="dcterms:W3CDTF">2013-12-02T04:44:00Z</dcterms:modified>
</cp:coreProperties>
</file>